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29" w:rsidRPr="00502E03" w:rsidRDefault="00D41B29" w:rsidP="00502E03">
      <w:pPr>
        <w:jc w:val="center"/>
        <w:rPr>
          <w:rFonts w:ascii="Times New Roman" w:hAnsi="Times New Roman"/>
          <w:sz w:val="36"/>
          <w:szCs w:val="36"/>
        </w:rPr>
      </w:pPr>
      <w:r w:rsidRPr="00502E03">
        <w:rPr>
          <w:rFonts w:ascii="Times New Roman" w:hAnsi="Times New Roman"/>
          <w:sz w:val="36"/>
          <w:szCs w:val="36"/>
        </w:rPr>
        <w:t>Психологическая готовность к школе</w:t>
      </w:r>
    </w:p>
    <w:p w:rsidR="00D41B29" w:rsidRPr="00D41B29" w:rsidRDefault="00502E03" w:rsidP="00D41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41B29" w:rsidRPr="00D41B29">
        <w:rPr>
          <w:rFonts w:ascii="Times New Roman" w:hAnsi="Times New Roman"/>
          <w:sz w:val="28"/>
          <w:szCs w:val="28"/>
        </w:rPr>
        <w:t>Проблема психологической готовности к школе в последнее время стала очень популярной среди исследователей различных специальностей. Во всех исследованиях, несмотря на различие подходов, признается факт, что эффективным школьное обучение будет только в том случае, если первоклассник обладает необходимыми и достаточными для начального этапа обучения качествами, которые затем в учебном процессе развиваются и совершенствуются. При этом выделяются несколько параметров психического развития ребенка, наиболее существенно влияющих на успешность обучения в школе:</w:t>
      </w:r>
    </w:p>
    <w:p w:rsidR="00D41B29" w:rsidRPr="00D41B29" w:rsidRDefault="00D41B29" w:rsidP="00D41B29">
      <w:pPr>
        <w:rPr>
          <w:rFonts w:ascii="Times New Roman" w:hAnsi="Times New Roman"/>
          <w:sz w:val="28"/>
          <w:szCs w:val="28"/>
        </w:rPr>
      </w:pPr>
      <w:r w:rsidRPr="00D41B29">
        <w:rPr>
          <w:rFonts w:ascii="Times New Roman" w:hAnsi="Times New Roman"/>
          <w:sz w:val="28"/>
          <w:szCs w:val="28"/>
        </w:rPr>
        <w:t>1.Определенный уровень мотивационного развития ребенка, включающий познавательные и социальные мотивы обучения. Ребенок, готовый к школе, хочет в ней учиться, потому что стремится занять определенную позицию в обществе людей, а именно позицию, открывающую доступ в мир взрослости, и потому, что у него есть познавательная потребность, которую он не может удовлетворить дома.</w:t>
      </w:r>
    </w:p>
    <w:p w:rsidR="00D41B29" w:rsidRPr="00D41B29" w:rsidRDefault="00D41B29" w:rsidP="00D41B29">
      <w:pPr>
        <w:rPr>
          <w:rFonts w:ascii="Times New Roman" w:hAnsi="Times New Roman"/>
          <w:sz w:val="28"/>
          <w:szCs w:val="28"/>
        </w:rPr>
      </w:pPr>
      <w:r w:rsidRPr="00D41B29">
        <w:rPr>
          <w:rFonts w:ascii="Times New Roman" w:hAnsi="Times New Roman"/>
          <w:sz w:val="28"/>
          <w:szCs w:val="28"/>
        </w:rPr>
        <w:t>2.Достаточное развитие произвольного поведения, о чем говорит уменьшение импульсивных реакций и возможность длительное время выполнять не очень привлекательное задание.</w:t>
      </w:r>
    </w:p>
    <w:p w:rsidR="00D41B29" w:rsidRPr="00D41B29" w:rsidRDefault="00D41B29" w:rsidP="00D41B29">
      <w:pPr>
        <w:rPr>
          <w:rFonts w:ascii="Times New Roman" w:hAnsi="Times New Roman"/>
          <w:sz w:val="28"/>
          <w:szCs w:val="28"/>
        </w:rPr>
      </w:pPr>
      <w:r w:rsidRPr="00D41B29">
        <w:rPr>
          <w:rFonts w:ascii="Times New Roman" w:hAnsi="Times New Roman"/>
          <w:sz w:val="28"/>
          <w:szCs w:val="28"/>
        </w:rPr>
        <w:t>3.Определенный уровень развития интеллектуальной сферы, включающий в себя следующие признаки:</w:t>
      </w:r>
    </w:p>
    <w:p w:rsidR="00D41B29" w:rsidRPr="00D41B29" w:rsidRDefault="00D41B29" w:rsidP="00D41B29">
      <w:pPr>
        <w:rPr>
          <w:rFonts w:ascii="Times New Roman" w:hAnsi="Times New Roman"/>
          <w:sz w:val="28"/>
          <w:szCs w:val="28"/>
        </w:rPr>
      </w:pPr>
      <w:r w:rsidRPr="00D41B29">
        <w:rPr>
          <w:rFonts w:ascii="Times New Roman" w:hAnsi="Times New Roman"/>
          <w:sz w:val="28"/>
          <w:szCs w:val="28"/>
        </w:rPr>
        <w:t></w:t>
      </w:r>
      <w:r w:rsidRPr="00D41B29">
        <w:rPr>
          <w:rFonts w:ascii="Times New Roman" w:hAnsi="Times New Roman"/>
          <w:sz w:val="28"/>
          <w:szCs w:val="28"/>
        </w:rPr>
        <w:tab/>
        <w:t>Дифференцированное восприятие (перцептивная зрелость), включающая выделение фигуры из фона;</w:t>
      </w:r>
    </w:p>
    <w:p w:rsidR="00D41B29" w:rsidRPr="00D41B29" w:rsidRDefault="00D41B29" w:rsidP="00D41B29">
      <w:pPr>
        <w:rPr>
          <w:rFonts w:ascii="Times New Roman" w:hAnsi="Times New Roman"/>
          <w:sz w:val="28"/>
          <w:szCs w:val="28"/>
        </w:rPr>
      </w:pPr>
      <w:r w:rsidRPr="00D41B29">
        <w:rPr>
          <w:rFonts w:ascii="Times New Roman" w:hAnsi="Times New Roman"/>
          <w:sz w:val="28"/>
          <w:szCs w:val="28"/>
        </w:rPr>
        <w:t></w:t>
      </w:r>
      <w:r w:rsidRPr="00D41B29">
        <w:rPr>
          <w:rFonts w:ascii="Times New Roman" w:hAnsi="Times New Roman"/>
          <w:sz w:val="28"/>
          <w:szCs w:val="28"/>
        </w:rPr>
        <w:tab/>
        <w:t>Концентрация внимания;</w:t>
      </w:r>
    </w:p>
    <w:p w:rsidR="00D41B29" w:rsidRPr="00D41B29" w:rsidRDefault="00D41B29" w:rsidP="00D41B29">
      <w:pPr>
        <w:rPr>
          <w:rFonts w:ascii="Times New Roman" w:hAnsi="Times New Roman"/>
          <w:sz w:val="28"/>
          <w:szCs w:val="28"/>
        </w:rPr>
      </w:pPr>
      <w:r w:rsidRPr="00D41B29">
        <w:rPr>
          <w:rFonts w:ascii="Times New Roman" w:hAnsi="Times New Roman"/>
          <w:sz w:val="28"/>
          <w:szCs w:val="28"/>
        </w:rPr>
        <w:t></w:t>
      </w:r>
      <w:r w:rsidRPr="00D41B29">
        <w:rPr>
          <w:rFonts w:ascii="Times New Roman" w:hAnsi="Times New Roman"/>
          <w:sz w:val="28"/>
          <w:szCs w:val="28"/>
        </w:rPr>
        <w:tab/>
        <w:t>Аналитическое мышление, выражающееся в способности постижения основных связей между явлениями;</w:t>
      </w:r>
    </w:p>
    <w:p w:rsidR="00D41B29" w:rsidRPr="00D41B29" w:rsidRDefault="00D41B29" w:rsidP="00D41B29">
      <w:pPr>
        <w:rPr>
          <w:rFonts w:ascii="Times New Roman" w:hAnsi="Times New Roman"/>
          <w:sz w:val="28"/>
          <w:szCs w:val="28"/>
        </w:rPr>
      </w:pPr>
      <w:r w:rsidRPr="00D41B29">
        <w:rPr>
          <w:rFonts w:ascii="Times New Roman" w:hAnsi="Times New Roman"/>
          <w:sz w:val="28"/>
          <w:szCs w:val="28"/>
        </w:rPr>
        <w:t></w:t>
      </w:r>
      <w:r w:rsidRPr="00D41B29">
        <w:rPr>
          <w:rFonts w:ascii="Times New Roman" w:hAnsi="Times New Roman"/>
          <w:sz w:val="28"/>
          <w:szCs w:val="28"/>
        </w:rPr>
        <w:tab/>
        <w:t>Логическое запоминание;</w:t>
      </w:r>
    </w:p>
    <w:p w:rsidR="00D41B29" w:rsidRPr="00D41B29" w:rsidRDefault="00D41B29" w:rsidP="00D41B29">
      <w:pPr>
        <w:rPr>
          <w:rFonts w:ascii="Times New Roman" w:hAnsi="Times New Roman"/>
          <w:sz w:val="28"/>
          <w:szCs w:val="28"/>
        </w:rPr>
      </w:pPr>
      <w:r w:rsidRPr="00D41B29">
        <w:rPr>
          <w:rFonts w:ascii="Times New Roman" w:hAnsi="Times New Roman"/>
          <w:sz w:val="28"/>
          <w:szCs w:val="28"/>
        </w:rPr>
        <w:t></w:t>
      </w:r>
      <w:r w:rsidRPr="00D41B29">
        <w:rPr>
          <w:rFonts w:ascii="Times New Roman" w:hAnsi="Times New Roman"/>
          <w:sz w:val="28"/>
          <w:szCs w:val="28"/>
        </w:rPr>
        <w:tab/>
        <w:t>Умение воспроизводить образец;</w:t>
      </w:r>
    </w:p>
    <w:p w:rsidR="00D41B29" w:rsidRPr="00D41B29" w:rsidRDefault="00D41B29" w:rsidP="00D41B29">
      <w:pPr>
        <w:rPr>
          <w:rFonts w:ascii="Times New Roman" w:hAnsi="Times New Roman"/>
          <w:sz w:val="28"/>
          <w:szCs w:val="28"/>
        </w:rPr>
      </w:pPr>
      <w:r w:rsidRPr="00D41B29">
        <w:rPr>
          <w:rFonts w:ascii="Times New Roman" w:hAnsi="Times New Roman"/>
          <w:sz w:val="28"/>
          <w:szCs w:val="28"/>
        </w:rPr>
        <w:t></w:t>
      </w:r>
      <w:r w:rsidRPr="00D41B29">
        <w:rPr>
          <w:rFonts w:ascii="Times New Roman" w:hAnsi="Times New Roman"/>
          <w:sz w:val="28"/>
          <w:szCs w:val="28"/>
        </w:rPr>
        <w:tab/>
        <w:t>Развитие тонких движений руки.</w:t>
      </w:r>
    </w:p>
    <w:p w:rsidR="00E53568" w:rsidRPr="00D41B29" w:rsidRDefault="00502E03" w:rsidP="00D41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D41B29" w:rsidRPr="00D41B29">
        <w:rPr>
          <w:rFonts w:ascii="Times New Roman" w:hAnsi="Times New Roman"/>
          <w:sz w:val="28"/>
          <w:szCs w:val="28"/>
        </w:rPr>
        <w:t xml:space="preserve"> Таким образом, психологическая готовность к школе – это необходимый и достаточный уровень психического развития ребенка для освоения школьной программы в условиях обучения в группе сверстников.</w:t>
      </w:r>
    </w:p>
    <w:sectPr w:rsidR="00E53568" w:rsidRPr="00D4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68"/>
    <w:rsid w:val="00502E03"/>
    <w:rsid w:val="00D41B29"/>
    <w:rsid w:val="00E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2018-03-29T03:43:00Z</dcterms:created>
  <dcterms:modified xsi:type="dcterms:W3CDTF">2018-03-29T03:45:00Z</dcterms:modified>
</cp:coreProperties>
</file>